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EE6AC" w14:textId="77777777" w:rsidR="00D817AD" w:rsidRDefault="00D817AD" w:rsidP="002E1404">
      <w:pPr>
        <w:spacing w:line="480" w:lineRule="auto"/>
        <w:jc w:val="center"/>
        <w:rPr>
          <w:rFonts w:ascii="Times New Roman" w:hAnsi="Times New Roman" w:cs="Times New Roman"/>
          <w:sz w:val="24"/>
          <w:szCs w:val="24"/>
        </w:rPr>
      </w:pPr>
      <w:bookmarkStart w:id="0" w:name="_GoBack"/>
      <w:bookmarkEnd w:id="0"/>
    </w:p>
    <w:p w14:paraId="67FDC219" w14:textId="77777777" w:rsidR="00D817AD" w:rsidRDefault="00D817AD" w:rsidP="002E1404">
      <w:pPr>
        <w:spacing w:line="480" w:lineRule="auto"/>
        <w:jc w:val="center"/>
        <w:rPr>
          <w:rFonts w:ascii="Times New Roman" w:hAnsi="Times New Roman" w:cs="Times New Roman"/>
          <w:sz w:val="24"/>
          <w:szCs w:val="24"/>
        </w:rPr>
      </w:pPr>
    </w:p>
    <w:p w14:paraId="2604B977" w14:textId="77777777" w:rsidR="00D817AD" w:rsidRDefault="00D817AD" w:rsidP="002E1404">
      <w:pPr>
        <w:spacing w:line="480" w:lineRule="auto"/>
        <w:jc w:val="center"/>
        <w:rPr>
          <w:rFonts w:ascii="Times New Roman" w:hAnsi="Times New Roman" w:cs="Times New Roman"/>
          <w:sz w:val="24"/>
          <w:szCs w:val="24"/>
        </w:rPr>
      </w:pPr>
    </w:p>
    <w:p w14:paraId="53E746B7" w14:textId="5CAFA057" w:rsidR="00D817AD" w:rsidRDefault="00D817AD" w:rsidP="002E1404">
      <w:pPr>
        <w:spacing w:line="480" w:lineRule="auto"/>
        <w:jc w:val="center"/>
        <w:rPr>
          <w:rFonts w:ascii="Times New Roman" w:hAnsi="Times New Roman" w:cs="Times New Roman"/>
          <w:sz w:val="24"/>
          <w:szCs w:val="24"/>
        </w:rPr>
      </w:pPr>
    </w:p>
    <w:p w14:paraId="58A71E58" w14:textId="77777777" w:rsidR="00D817AD" w:rsidRDefault="00D817AD" w:rsidP="002E1404">
      <w:pPr>
        <w:spacing w:line="480" w:lineRule="auto"/>
        <w:jc w:val="center"/>
        <w:rPr>
          <w:rFonts w:ascii="Times New Roman" w:hAnsi="Times New Roman" w:cs="Times New Roman"/>
          <w:sz w:val="24"/>
          <w:szCs w:val="24"/>
        </w:rPr>
      </w:pPr>
    </w:p>
    <w:p w14:paraId="4CFA37F6" w14:textId="67020784" w:rsidR="00115A87" w:rsidRDefault="00DF320B" w:rsidP="002E140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Reading </w:t>
      </w:r>
      <w:r w:rsidR="007E6807" w:rsidRPr="009D5B48">
        <w:rPr>
          <w:rFonts w:ascii="Times New Roman" w:hAnsi="Times New Roman" w:cs="Times New Roman"/>
          <w:sz w:val="24"/>
          <w:szCs w:val="24"/>
        </w:rPr>
        <w:t>Response</w:t>
      </w:r>
    </w:p>
    <w:p w14:paraId="6486B0BD" w14:textId="77777777" w:rsidR="00115A87" w:rsidRDefault="00DF320B" w:rsidP="002E1404">
      <w:pPr>
        <w:spacing w:line="480" w:lineRule="auto"/>
        <w:jc w:val="center"/>
        <w:rPr>
          <w:rFonts w:ascii="Times New Roman" w:hAnsi="Times New Roman" w:cs="Times New Roman"/>
          <w:sz w:val="24"/>
          <w:szCs w:val="24"/>
        </w:rPr>
      </w:pPr>
      <w:r w:rsidRPr="007E6807">
        <w:rPr>
          <w:rFonts w:ascii="Times New Roman" w:hAnsi="Times New Roman" w:cs="Times New Roman"/>
          <w:sz w:val="24"/>
          <w:szCs w:val="24"/>
        </w:rPr>
        <w:t>Student’s Name</w:t>
      </w:r>
    </w:p>
    <w:p w14:paraId="0C07C497" w14:textId="77777777" w:rsidR="00115A87" w:rsidRDefault="00DF320B" w:rsidP="002E1404">
      <w:pPr>
        <w:spacing w:line="480" w:lineRule="auto"/>
        <w:jc w:val="center"/>
        <w:rPr>
          <w:rFonts w:ascii="Times New Roman" w:hAnsi="Times New Roman" w:cs="Times New Roman"/>
          <w:sz w:val="24"/>
          <w:szCs w:val="24"/>
        </w:rPr>
      </w:pPr>
      <w:r w:rsidRPr="007E6807">
        <w:rPr>
          <w:rFonts w:ascii="Times New Roman" w:hAnsi="Times New Roman" w:cs="Times New Roman"/>
          <w:sz w:val="24"/>
          <w:szCs w:val="24"/>
        </w:rPr>
        <w:t>Institutional Affiliations</w:t>
      </w:r>
    </w:p>
    <w:p w14:paraId="61F685E7" w14:textId="77777777" w:rsidR="006177AD" w:rsidRDefault="00DF320B" w:rsidP="002E140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2D5F94" w14:textId="2C8769E7" w:rsidR="00115A87" w:rsidRDefault="00DF320B" w:rsidP="002E14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Reading Response</w:t>
      </w:r>
    </w:p>
    <w:p w14:paraId="2ECA8890" w14:textId="77777777" w:rsidR="0058103B" w:rsidRPr="003E3735" w:rsidRDefault="00DF320B" w:rsidP="002E1404">
      <w:pPr>
        <w:spacing w:line="480" w:lineRule="auto"/>
        <w:jc w:val="center"/>
        <w:rPr>
          <w:rFonts w:ascii="Times New Roman" w:hAnsi="Times New Roman" w:cs="Times New Roman"/>
          <w:b/>
          <w:sz w:val="24"/>
          <w:szCs w:val="24"/>
        </w:rPr>
      </w:pPr>
      <w:r w:rsidRPr="003E3735">
        <w:rPr>
          <w:rFonts w:ascii="Times New Roman" w:hAnsi="Times New Roman" w:cs="Times New Roman"/>
          <w:b/>
          <w:sz w:val="24"/>
          <w:szCs w:val="24"/>
        </w:rPr>
        <w:t>Introduction</w:t>
      </w:r>
    </w:p>
    <w:p w14:paraId="56EB7760" w14:textId="77777777"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Gander has in the recent past been referred</w:t>
      </w:r>
      <w:r w:rsidR="00BC49A0">
        <w:rPr>
          <w:rFonts w:ascii="Times New Roman" w:hAnsi="Times New Roman" w:cs="Times New Roman"/>
          <w:sz w:val="24"/>
          <w:szCs w:val="24"/>
        </w:rPr>
        <w:t xml:space="preserve"> to as the social organization of the relationship between the various sexes. The term has been employed in stressing the relationship aspect of the definition of femininity. In a nutshell, gender has sometimes been substituted with women</w:t>
      </w:r>
      <w:r w:rsidR="009132F6">
        <w:rPr>
          <w:rFonts w:ascii="Times New Roman" w:hAnsi="Times New Roman" w:cs="Times New Roman"/>
          <w:sz w:val="24"/>
          <w:szCs w:val="24"/>
        </w:rPr>
        <w:t xml:space="preserve"> (Scott, 1986)</w:t>
      </w:r>
      <w:r w:rsidR="00BC49A0">
        <w:rPr>
          <w:rFonts w:ascii="Times New Roman" w:hAnsi="Times New Roman" w:cs="Times New Roman"/>
          <w:sz w:val="24"/>
          <w:szCs w:val="24"/>
        </w:rPr>
        <w:t xml:space="preserve">. </w:t>
      </w:r>
      <w:r w:rsidR="00EC6910">
        <w:rPr>
          <w:rFonts w:ascii="Times New Roman" w:hAnsi="Times New Roman" w:cs="Times New Roman"/>
          <w:sz w:val="24"/>
          <w:szCs w:val="24"/>
        </w:rPr>
        <w:t>This paper is an analysis of the work by Scott together with the chapter 3 of The Question of Gender edited by Judith and Elizabeth.</w:t>
      </w:r>
    </w:p>
    <w:p w14:paraId="5BC10E0D" w14:textId="77777777" w:rsidR="00152BDF" w:rsidRDefault="00DF320B" w:rsidP="002E1404">
      <w:pPr>
        <w:spacing w:line="480" w:lineRule="auto"/>
        <w:jc w:val="center"/>
        <w:rPr>
          <w:rFonts w:ascii="Times New Roman" w:hAnsi="Times New Roman" w:cs="Times New Roman"/>
          <w:b/>
          <w:sz w:val="24"/>
          <w:szCs w:val="24"/>
        </w:rPr>
      </w:pPr>
      <w:r w:rsidRPr="003E3735">
        <w:rPr>
          <w:rFonts w:ascii="Times New Roman" w:hAnsi="Times New Roman" w:cs="Times New Roman"/>
          <w:b/>
          <w:sz w:val="24"/>
          <w:szCs w:val="24"/>
        </w:rPr>
        <w:t xml:space="preserve">Scott’s </w:t>
      </w:r>
      <w:r w:rsidR="003E3735" w:rsidRPr="003E3735">
        <w:rPr>
          <w:rFonts w:ascii="Times New Roman" w:hAnsi="Times New Roman" w:cs="Times New Roman"/>
          <w:b/>
          <w:sz w:val="24"/>
          <w:szCs w:val="24"/>
        </w:rPr>
        <w:t xml:space="preserve">Central Argument </w:t>
      </w:r>
      <w:r w:rsidR="003E3735">
        <w:rPr>
          <w:rFonts w:ascii="Times New Roman" w:hAnsi="Times New Roman" w:cs="Times New Roman"/>
          <w:b/>
          <w:sz w:val="24"/>
          <w:szCs w:val="24"/>
        </w:rPr>
        <w:t>and</w:t>
      </w:r>
      <w:r w:rsidR="003E3735" w:rsidRPr="003E3735">
        <w:rPr>
          <w:rFonts w:ascii="Times New Roman" w:hAnsi="Times New Roman" w:cs="Times New Roman"/>
          <w:b/>
          <w:sz w:val="24"/>
          <w:szCs w:val="24"/>
        </w:rPr>
        <w:t xml:space="preserve"> Thesis</w:t>
      </w:r>
    </w:p>
    <w:p w14:paraId="5C1D4E9E" w14:textId="7BE58503"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Scott views gender as a concept that conducts a study on things relating to </w:t>
      </w:r>
      <w:r>
        <w:rPr>
          <w:rFonts w:ascii="Times New Roman" w:hAnsi="Times New Roman" w:cs="Times New Roman"/>
          <w:sz w:val="24"/>
          <w:szCs w:val="24"/>
        </w:rPr>
        <w:t>women. She views the issue of gender as a new subject with little power in addressing the historical paradigms.</w:t>
      </w:r>
      <w:r w:rsidR="007C1700">
        <w:rPr>
          <w:rFonts w:ascii="Times New Roman" w:hAnsi="Times New Roman" w:cs="Times New Roman"/>
          <w:sz w:val="24"/>
          <w:szCs w:val="24"/>
        </w:rPr>
        <w:t xml:space="preserve"> Her main point is mainly to clarify and specify how we ought to think about the gender issue in social and institutional relationships.</w:t>
      </w:r>
      <w:r>
        <w:rPr>
          <w:rFonts w:ascii="Times New Roman" w:hAnsi="Times New Roman" w:cs="Times New Roman"/>
          <w:sz w:val="24"/>
          <w:szCs w:val="24"/>
        </w:rPr>
        <w:t xml:space="preserve"> </w:t>
      </w:r>
      <w:r w:rsidR="00CA2EDB">
        <w:rPr>
          <w:rFonts w:ascii="Times New Roman" w:hAnsi="Times New Roman" w:cs="Times New Roman"/>
          <w:sz w:val="24"/>
          <w:szCs w:val="24"/>
        </w:rPr>
        <w:t xml:space="preserve">Scott agrees with Lacanian theory that language is important in inducting a child into gendered identity. However, he is against the universality brought out in the theory which lacks openness on how the subject is constructed. He insists on the need for self-consciousness when it comes to differentiating analytic vocabulary and the material under analysis. </w:t>
      </w:r>
      <w:r w:rsidR="008B2CD3">
        <w:rPr>
          <w:rFonts w:ascii="Times New Roman" w:hAnsi="Times New Roman" w:cs="Times New Roman"/>
          <w:sz w:val="24"/>
          <w:szCs w:val="24"/>
        </w:rPr>
        <w:t>The thesis is stated through Scott's definition of gender which is in two way</w:t>
      </w:r>
      <w:r w:rsidR="00152BDF">
        <w:rPr>
          <w:rFonts w:ascii="Times New Roman" w:hAnsi="Times New Roman" w:cs="Times New Roman"/>
          <w:sz w:val="24"/>
          <w:szCs w:val="24"/>
        </w:rPr>
        <w:t>s</w:t>
      </w:r>
      <w:r w:rsidR="008B2CD3">
        <w:rPr>
          <w:rFonts w:ascii="Times New Roman" w:hAnsi="Times New Roman" w:cs="Times New Roman"/>
          <w:sz w:val="24"/>
          <w:szCs w:val="24"/>
        </w:rPr>
        <w:t>, that is, as a constructive element of social relations and also as a way of signifying relationships of power</w:t>
      </w:r>
      <w:r w:rsidR="009132F6">
        <w:rPr>
          <w:rFonts w:ascii="Times New Roman" w:hAnsi="Times New Roman" w:cs="Times New Roman"/>
          <w:sz w:val="24"/>
          <w:szCs w:val="24"/>
        </w:rPr>
        <w:t xml:space="preserve"> (Scott, 1986)</w:t>
      </w:r>
      <w:r w:rsidR="008B2CD3">
        <w:rPr>
          <w:rFonts w:ascii="Times New Roman" w:hAnsi="Times New Roman" w:cs="Times New Roman"/>
          <w:sz w:val="24"/>
          <w:szCs w:val="24"/>
        </w:rPr>
        <w:t>.</w:t>
      </w:r>
    </w:p>
    <w:p w14:paraId="6F3F250D" w14:textId="77777777"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points are on the four elements that form the basis of gender. These are culturally available symbols that give multiple representations, purification and pollution, myths of light and dark and then innocence and corruption. According to Scott, al</w:t>
      </w:r>
      <w:r>
        <w:rPr>
          <w:rFonts w:ascii="Times New Roman" w:hAnsi="Times New Roman" w:cs="Times New Roman"/>
          <w:sz w:val="24"/>
          <w:szCs w:val="24"/>
        </w:rPr>
        <w:t xml:space="preserve">l the mentioned concepts are available in religious, educational and political spheres which have definite </w:t>
      </w:r>
      <w:r>
        <w:rPr>
          <w:rFonts w:ascii="Times New Roman" w:hAnsi="Times New Roman" w:cs="Times New Roman"/>
          <w:sz w:val="24"/>
          <w:szCs w:val="24"/>
        </w:rPr>
        <w:lastRenderedPageBreak/>
        <w:t xml:space="preserve">definitions of what they entail. </w:t>
      </w:r>
      <w:r w:rsidR="008B2CD3">
        <w:rPr>
          <w:rFonts w:ascii="Times New Roman" w:hAnsi="Times New Roman" w:cs="Times New Roman"/>
          <w:sz w:val="24"/>
          <w:szCs w:val="24"/>
        </w:rPr>
        <w:t xml:space="preserve"> </w:t>
      </w:r>
      <w:r w:rsidR="0021168F">
        <w:rPr>
          <w:rFonts w:ascii="Times New Roman" w:hAnsi="Times New Roman" w:cs="Times New Roman"/>
          <w:sz w:val="24"/>
          <w:szCs w:val="24"/>
        </w:rPr>
        <w:t>The main points support the central f</w:t>
      </w:r>
      <w:r w:rsidR="009F0B28">
        <w:rPr>
          <w:rFonts w:ascii="Times New Roman" w:hAnsi="Times New Roman" w:cs="Times New Roman"/>
          <w:sz w:val="24"/>
          <w:szCs w:val="24"/>
        </w:rPr>
        <w:t>ocus of the article which looks at gender with the aim of identification of the useful category of historical analysis. The issue of gender is always looked at in a duo form which therefore makes the main points to support the focus of the article.</w:t>
      </w:r>
    </w:p>
    <w:p w14:paraId="58E6CC70" w14:textId="2F2CB05D"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Scott does not agree with some scholars especially anthropologists who</w:t>
      </w:r>
      <w:r>
        <w:rPr>
          <w:rFonts w:ascii="Times New Roman" w:hAnsi="Times New Roman" w:cs="Times New Roman"/>
          <w:sz w:val="24"/>
          <w:szCs w:val="24"/>
        </w:rPr>
        <w:t xml:space="preserve"> restrict the use of gender to household and family as a kinship system. </w:t>
      </w:r>
      <w:r w:rsidR="006C35DD">
        <w:rPr>
          <w:rFonts w:ascii="Times New Roman" w:hAnsi="Times New Roman" w:cs="Times New Roman"/>
          <w:sz w:val="24"/>
          <w:szCs w:val="24"/>
        </w:rPr>
        <w:t xml:space="preserve">He insists on a broader dimension that can touch on both the kinship and other areas such as education, labour markets and the polity. </w:t>
      </w:r>
      <w:r w:rsidR="003B5226">
        <w:rPr>
          <w:rFonts w:ascii="Times New Roman" w:hAnsi="Times New Roman" w:cs="Times New Roman"/>
          <w:sz w:val="24"/>
          <w:szCs w:val="24"/>
        </w:rPr>
        <w:t xml:space="preserve">Even though she also works on developing the same concept of gender, she insists on a broader perspective on the same. She, however, agrees with scholars such as Gayle Rubin whose assertion that psychoanalysis theory offers a good explanation on gender reproduction and biological sexuality transformation. </w:t>
      </w:r>
      <w:r w:rsidR="0081239D">
        <w:rPr>
          <w:rFonts w:ascii="Times New Roman" w:hAnsi="Times New Roman" w:cs="Times New Roman"/>
          <w:sz w:val="24"/>
          <w:szCs w:val="24"/>
        </w:rPr>
        <w:t>Therefore</w:t>
      </w:r>
      <w:r w:rsidR="00152BDF">
        <w:rPr>
          <w:rFonts w:ascii="Times New Roman" w:hAnsi="Times New Roman" w:cs="Times New Roman"/>
          <w:sz w:val="24"/>
          <w:szCs w:val="24"/>
        </w:rPr>
        <w:t>,</w:t>
      </w:r>
      <w:r w:rsidR="0081239D">
        <w:rPr>
          <w:rFonts w:ascii="Times New Roman" w:hAnsi="Times New Roman" w:cs="Times New Roman"/>
          <w:sz w:val="24"/>
          <w:szCs w:val="24"/>
        </w:rPr>
        <w:t xml:space="preserve"> the major shortcomings in the work are in </w:t>
      </w:r>
      <w:r w:rsidR="00C8391C">
        <w:rPr>
          <w:rFonts w:ascii="Times New Roman" w:hAnsi="Times New Roman" w:cs="Times New Roman"/>
          <w:sz w:val="24"/>
          <w:szCs w:val="24"/>
        </w:rPr>
        <w:t>the fact that some of the theorists have a limited view of gender which Scott insists should be looked at from a broader dimension</w:t>
      </w:r>
      <w:r w:rsidR="00F5030A">
        <w:rPr>
          <w:rFonts w:ascii="Times New Roman" w:hAnsi="Times New Roman" w:cs="Times New Roman"/>
          <w:sz w:val="24"/>
          <w:szCs w:val="24"/>
        </w:rPr>
        <w:t xml:space="preserve"> (Scott, 1986)</w:t>
      </w:r>
      <w:r w:rsidR="00C8391C">
        <w:rPr>
          <w:rFonts w:ascii="Times New Roman" w:hAnsi="Times New Roman" w:cs="Times New Roman"/>
          <w:sz w:val="24"/>
          <w:szCs w:val="24"/>
        </w:rPr>
        <w:t>.</w:t>
      </w:r>
    </w:p>
    <w:p w14:paraId="48655CD8" w14:textId="25F8D7D1" w:rsidR="0058103B" w:rsidRPr="00152BDF" w:rsidRDefault="00DF320B" w:rsidP="002E1404">
      <w:pPr>
        <w:spacing w:line="480" w:lineRule="auto"/>
        <w:jc w:val="center"/>
        <w:rPr>
          <w:rFonts w:ascii="Times New Roman" w:hAnsi="Times New Roman" w:cs="Times New Roman"/>
          <w:b/>
          <w:sz w:val="24"/>
          <w:szCs w:val="24"/>
        </w:rPr>
      </w:pPr>
      <w:r w:rsidRPr="00152BDF">
        <w:rPr>
          <w:rFonts w:ascii="Times New Roman" w:hAnsi="Times New Roman" w:cs="Times New Roman"/>
          <w:b/>
          <w:sz w:val="24"/>
          <w:szCs w:val="24"/>
        </w:rPr>
        <w:t xml:space="preserve">Analysis of </w:t>
      </w:r>
      <w:r w:rsidR="00152BDF" w:rsidRPr="00152BDF">
        <w:rPr>
          <w:rFonts w:ascii="Times New Roman" w:hAnsi="Times New Roman" w:cs="Times New Roman"/>
          <w:b/>
          <w:sz w:val="24"/>
          <w:szCs w:val="24"/>
        </w:rPr>
        <w:t>C</w:t>
      </w:r>
      <w:r w:rsidRPr="00152BDF">
        <w:rPr>
          <w:rFonts w:ascii="Times New Roman" w:hAnsi="Times New Roman" w:cs="Times New Roman"/>
          <w:b/>
          <w:sz w:val="24"/>
          <w:szCs w:val="24"/>
        </w:rPr>
        <w:t>hapter 3</w:t>
      </w:r>
      <w:r w:rsidR="00152BDF" w:rsidRPr="00152BDF">
        <w:rPr>
          <w:rFonts w:ascii="Times New Roman" w:hAnsi="Times New Roman" w:cs="Times New Roman"/>
          <w:b/>
          <w:sz w:val="24"/>
          <w:szCs w:val="24"/>
        </w:rPr>
        <w:t xml:space="preserve"> in Relation to Scott’s Work</w:t>
      </w:r>
    </w:p>
    <w:p w14:paraId="43ED9A9C" w14:textId="77777777"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chapter touches on the two celebrities Rosa Bonheur who was a painter and Sarah Bernhardt who was an actress and the most famous woman in the world during her time. </w:t>
      </w:r>
      <w:r w:rsidR="009041E5">
        <w:rPr>
          <w:rFonts w:ascii="Times New Roman" w:hAnsi="Times New Roman" w:cs="Times New Roman"/>
          <w:sz w:val="24"/>
          <w:szCs w:val="24"/>
        </w:rPr>
        <w:t xml:space="preserve">The chapter three extracted from the book The question of gender gives the history of these two women who came out as celebrities and eccentrics in their times. </w:t>
      </w:r>
      <w:r w:rsidR="00CF066A">
        <w:rPr>
          <w:rFonts w:ascii="Times New Roman" w:hAnsi="Times New Roman" w:cs="Times New Roman"/>
          <w:sz w:val="24"/>
          <w:szCs w:val="24"/>
        </w:rPr>
        <w:t>They stood out to be the most celebrated women in the 19</w:t>
      </w:r>
      <w:r w:rsidR="00CF066A" w:rsidRPr="00CF066A">
        <w:rPr>
          <w:rFonts w:ascii="Times New Roman" w:hAnsi="Times New Roman" w:cs="Times New Roman"/>
          <w:sz w:val="24"/>
          <w:szCs w:val="24"/>
          <w:vertAlign w:val="superscript"/>
        </w:rPr>
        <w:t>th</w:t>
      </w:r>
      <w:r w:rsidR="00CF066A">
        <w:rPr>
          <w:rFonts w:ascii="Times New Roman" w:hAnsi="Times New Roman" w:cs="Times New Roman"/>
          <w:sz w:val="24"/>
          <w:szCs w:val="24"/>
        </w:rPr>
        <w:t xml:space="preserve"> century in the European society</w:t>
      </w:r>
      <w:r w:rsidR="00DC06BB">
        <w:rPr>
          <w:rFonts w:ascii="Times New Roman" w:hAnsi="Times New Roman" w:cs="Times New Roman"/>
          <w:sz w:val="24"/>
          <w:szCs w:val="24"/>
        </w:rPr>
        <w:t xml:space="preserve"> (</w:t>
      </w:r>
      <w:r w:rsidR="00DC06BB" w:rsidRPr="008F2089">
        <w:rPr>
          <w:rFonts w:ascii="Times New Roman" w:hAnsi="Times New Roman" w:cs="Times New Roman"/>
          <w:sz w:val="24"/>
          <w:szCs w:val="24"/>
        </w:rPr>
        <w:t>Wee</w:t>
      </w:r>
      <w:r w:rsidR="00DC06BB">
        <w:rPr>
          <w:rFonts w:ascii="Times New Roman" w:hAnsi="Times New Roman" w:cs="Times New Roman"/>
          <w:sz w:val="24"/>
          <w:szCs w:val="24"/>
        </w:rPr>
        <w:t>d &amp; Judith, 2011)</w:t>
      </w:r>
      <w:r w:rsidR="00CF066A">
        <w:rPr>
          <w:rFonts w:ascii="Times New Roman" w:hAnsi="Times New Roman" w:cs="Times New Roman"/>
          <w:sz w:val="24"/>
          <w:szCs w:val="24"/>
        </w:rPr>
        <w:t>. This was a time when few women would come out and do something worth recognition.</w:t>
      </w:r>
    </w:p>
    <w:p w14:paraId="330FC744" w14:textId="2C894422"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Scott’s work provides a scholarly context for this chapter since the article deals with gender issue which basically touches on women, something that is well brought in the chapter </w:t>
      </w:r>
      <w:r>
        <w:rPr>
          <w:rFonts w:ascii="Times New Roman" w:hAnsi="Times New Roman" w:cs="Times New Roman"/>
          <w:sz w:val="24"/>
          <w:szCs w:val="24"/>
        </w:rPr>
        <w:lastRenderedPageBreak/>
        <w:t>out of their orbit that is al</w:t>
      </w:r>
      <w:r>
        <w:rPr>
          <w:rFonts w:ascii="Times New Roman" w:hAnsi="Times New Roman" w:cs="Times New Roman"/>
          <w:sz w:val="24"/>
          <w:szCs w:val="24"/>
        </w:rPr>
        <w:t xml:space="preserve">so dealing with two women celebrities. Their stories are a good reflection of what Scott's arguments stand for, </w:t>
      </w:r>
      <w:r w:rsidR="002F33B3">
        <w:rPr>
          <w:rFonts w:ascii="Times New Roman" w:hAnsi="Times New Roman" w:cs="Times New Roman"/>
          <w:sz w:val="24"/>
          <w:szCs w:val="24"/>
        </w:rPr>
        <w:t>looking at the issue of gender in a more holistic approach beyond kinship viewpoint. The author</w:t>
      </w:r>
      <w:r w:rsidR="00152BDF">
        <w:rPr>
          <w:rFonts w:ascii="Times New Roman" w:hAnsi="Times New Roman" w:cs="Times New Roman"/>
          <w:sz w:val="24"/>
          <w:szCs w:val="24"/>
        </w:rPr>
        <w:t>s,</w:t>
      </w:r>
      <w:r w:rsidR="002F33B3">
        <w:rPr>
          <w:rFonts w:ascii="Times New Roman" w:hAnsi="Times New Roman" w:cs="Times New Roman"/>
          <w:sz w:val="24"/>
          <w:szCs w:val="24"/>
        </w:rPr>
        <w:t xml:space="preserve"> therefore</w:t>
      </w:r>
      <w:r w:rsidR="00152BDF">
        <w:rPr>
          <w:rFonts w:ascii="Times New Roman" w:hAnsi="Times New Roman" w:cs="Times New Roman"/>
          <w:sz w:val="24"/>
          <w:szCs w:val="24"/>
        </w:rPr>
        <w:t>,</w:t>
      </w:r>
      <w:r w:rsidR="002F33B3">
        <w:rPr>
          <w:rFonts w:ascii="Times New Roman" w:hAnsi="Times New Roman" w:cs="Times New Roman"/>
          <w:sz w:val="24"/>
          <w:szCs w:val="24"/>
        </w:rPr>
        <w:t xml:space="preserve"> appreciate the work of Scott through an agreement that women have gone beyond the normal position they have been given in the society since time memorial.</w:t>
      </w:r>
    </w:p>
    <w:p w14:paraId="7381808C" w14:textId="77777777"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Elements of Scott's work are well developed in this chapter. This is through eccentricity which has been invented through indiv</w:t>
      </w:r>
      <w:r>
        <w:rPr>
          <w:rFonts w:ascii="Times New Roman" w:hAnsi="Times New Roman" w:cs="Times New Roman"/>
          <w:sz w:val="24"/>
          <w:szCs w:val="24"/>
        </w:rPr>
        <w:t xml:space="preserve">idualism in the modern liberal society. Therefore, there is a concurrence which boosts the definition of gender as per Scott which should indeed include the modernity that has altered the initial kinship confinement. A clear example is in the </w:t>
      </w:r>
      <w:r w:rsidR="00D95810">
        <w:rPr>
          <w:rFonts w:ascii="Times New Roman" w:hAnsi="Times New Roman" w:cs="Times New Roman"/>
          <w:sz w:val="24"/>
          <w:szCs w:val="24"/>
        </w:rPr>
        <w:t>author’s</w:t>
      </w:r>
      <w:r>
        <w:rPr>
          <w:rFonts w:ascii="Times New Roman" w:hAnsi="Times New Roman" w:cs="Times New Roman"/>
          <w:sz w:val="24"/>
          <w:szCs w:val="24"/>
        </w:rPr>
        <w:t xml:space="preserve"> argument that Bonheur and Bernhardt represent a new bride of women which therefore imposes a need for the redefinition of gender agreeing with Scott's</w:t>
      </w:r>
      <w:r w:rsidR="00DC06BB">
        <w:rPr>
          <w:rFonts w:ascii="Times New Roman" w:hAnsi="Times New Roman" w:cs="Times New Roman"/>
          <w:sz w:val="24"/>
          <w:szCs w:val="24"/>
        </w:rPr>
        <w:t xml:space="preserve"> assertion (</w:t>
      </w:r>
      <w:r w:rsidR="00DC06BB" w:rsidRPr="008F2089">
        <w:rPr>
          <w:rFonts w:ascii="Times New Roman" w:hAnsi="Times New Roman" w:cs="Times New Roman"/>
          <w:sz w:val="24"/>
          <w:szCs w:val="24"/>
        </w:rPr>
        <w:t>Wee</w:t>
      </w:r>
      <w:r w:rsidR="00DC06BB">
        <w:rPr>
          <w:rFonts w:ascii="Times New Roman" w:hAnsi="Times New Roman" w:cs="Times New Roman"/>
          <w:sz w:val="24"/>
          <w:szCs w:val="24"/>
        </w:rPr>
        <w:t>d &amp; Judith, 2011).</w:t>
      </w:r>
    </w:p>
    <w:p w14:paraId="08127926" w14:textId="417BE013" w:rsidR="0058103B" w:rsidRPr="00152BDF" w:rsidRDefault="00DF320B" w:rsidP="002E1404">
      <w:pPr>
        <w:spacing w:line="480" w:lineRule="auto"/>
        <w:jc w:val="center"/>
        <w:rPr>
          <w:rFonts w:ascii="Times New Roman" w:hAnsi="Times New Roman" w:cs="Times New Roman"/>
          <w:b/>
          <w:sz w:val="24"/>
          <w:szCs w:val="24"/>
        </w:rPr>
      </w:pPr>
      <w:r w:rsidRPr="00152BDF">
        <w:rPr>
          <w:rFonts w:ascii="Times New Roman" w:hAnsi="Times New Roman" w:cs="Times New Roman"/>
          <w:b/>
          <w:sz w:val="24"/>
          <w:szCs w:val="24"/>
        </w:rPr>
        <w:t>R</w:t>
      </w:r>
      <w:r w:rsidR="004115C2" w:rsidRPr="00152BDF">
        <w:rPr>
          <w:rFonts w:ascii="Times New Roman" w:hAnsi="Times New Roman" w:cs="Times New Roman"/>
          <w:b/>
          <w:sz w:val="24"/>
          <w:szCs w:val="24"/>
        </w:rPr>
        <w:t>eflection</w:t>
      </w:r>
    </w:p>
    <w:p w14:paraId="38AD7E4F" w14:textId="77777777"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readings have caused an understanding that gender issue continues to change due to socio-economic and political changes taking place in the society. </w:t>
      </w:r>
      <w:r w:rsidR="00D95810">
        <w:rPr>
          <w:rFonts w:ascii="Times New Roman" w:hAnsi="Times New Roman" w:cs="Times New Roman"/>
          <w:sz w:val="24"/>
          <w:szCs w:val="24"/>
        </w:rPr>
        <w:t xml:space="preserve">Therefore a continual definition which encompasses all aspects must be considered. I will keep in mind issues such as proper gender definition, eccentricity and the role of modernism in the definition of gender which should now go beyond the kinship confinement. </w:t>
      </w:r>
      <w:r w:rsidR="00E000BD">
        <w:rPr>
          <w:rFonts w:ascii="Times New Roman" w:hAnsi="Times New Roman" w:cs="Times New Roman"/>
          <w:sz w:val="24"/>
          <w:szCs w:val="24"/>
        </w:rPr>
        <w:t xml:space="preserve">Gender is key in the analysis of my work </w:t>
      </w:r>
      <w:r w:rsidR="002D6EE0">
        <w:rPr>
          <w:rFonts w:ascii="Times New Roman" w:hAnsi="Times New Roman" w:cs="Times New Roman"/>
          <w:sz w:val="24"/>
          <w:szCs w:val="24"/>
        </w:rPr>
        <w:t xml:space="preserve">in bringing about a more holistic approach to analysis </w:t>
      </w:r>
      <w:r w:rsidR="007D5B8A">
        <w:rPr>
          <w:rFonts w:ascii="Times New Roman" w:hAnsi="Times New Roman" w:cs="Times New Roman"/>
          <w:sz w:val="24"/>
          <w:szCs w:val="24"/>
        </w:rPr>
        <w:t xml:space="preserve">on women especially. </w:t>
      </w:r>
      <w:r w:rsidR="002D6EE0">
        <w:rPr>
          <w:rFonts w:ascii="Times New Roman" w:hAnsi="Times New Roman" w:cs="Times New Roman"/>
          <w:sz w:val="24"/>
          <w:szCs w:val="24"/>
        </w:rPr>
        <w:t xml:space="preserve"> </w:t>
      </w:r>
      <w:r w:rsidR="007D5B8A">
        <w:rPr>
          <w:rFonts w:ascii="Times New Roman" w:hAnsi="Times New Roman" w:cs="Times New Roman"/>
          <w:sz w:val="24"/>
          <w:szCs w:val="24"/>
        </w:rPr>
        <w:t>Gender is key as a category to historical analysis due to its varied definitions that lack a conclusive approach. The continual growth in the approach to gender is something that we cannot ignore in the historical analysis.</w:t>
      </w:r>
    </w:p>
    <w:p w14:paraId="2BF44158" w14:textId="77777777" w:rsidR="0058103B" w:rsidRPr="00152BDF" w:rsidRDefault="00DF320B" w:rsidP="002E1404">
      <w:pPr>
        <w:spacing w:line="480" w:lineRule="auto"/>
        <w:jc w:val="center"/>
        <w:rPr>
          <w:rFonts w:ascii="Times New Roman" w:hAnsi="Times New Roman" w:cs="Times New Roman"/>
          <w:b/>
          <w:sz w:val="24"/>
          <w:szCs w:val="24"/>
        </w:rPr>
      </w:pPr>
      <w:r w:rsidRPr="00152BDF">
        <w:rPr>
          <w:rFonts w:ascii="Times New Roman" w:hAnsi="Times New Roman" w:cs="Times New Roman"/>
          <w:b/>
          <w:sz w:val="24"/>
          <w:szCs w:val="24"/>
        </w:rPr>
        <w:t>Conclusion</w:t>
      </w:r>
    </w:p>
    <w:p w14:paraId="23DD524D" w14:textId="77777777" w:rsidR="0058103B" w:rsidRDefault="00DF320B" w:rsidP="002E140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it is indeed true from the analysis of Scott's work that gender definition should be given a wider approach </w:t>
      </w:r>
      <w:r w:rsidR="00F378FD">
        <w:rPr>
          <w:rFonts w:ascii="Times New Roman" w:hAnsi="Times New Roman" w:cs="Times New Roman"/>
          <w:sz w:val="24"/>
          <w:szCs w:val="24"/>
        </w:rPr>
        <w:t>inclusive of social, political and other spheres which would attempt to give it a more holistic definition.</w:t>
      </w:r>
    </w:p>
    <w:p w14:paraId="7DE4BCDD" w14:textId="77777777" w:rsidR="00FE39A9" w:rsidRDefault="00DF320B" w:rsidP="002E140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BD43E5" w14:textId="15D740FC" w:rsidR="0058103B" w:rsidRDefault="00DF320B" w:rsidP="002E14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7ABDE7B" w14:textId="77777777" w:rsidR="00613E7E" w:rsidRDefault="00DF320B" w:rsidP="002E140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Scott, J.</w:t>
      </w:r>
      <w:r w:rsidRPr="00824CCB">
        <w:rPr>
          <w:rFonts w:ascii="Times New Roman" w:hAnsi="Times New Roman" w:cs="Times New Roman"/>
          <w:sz w:val="24"/>
          <w:szCs w:val="24"/>
        </w:rPr>
        <w:t xml:space="preserve"> W.</w:t>
      </w:r>
      <w:r>
        <w:rPr>
          <w:rFonts w:ascii="Times New Roman" w:hAnsi="Times New Roman" w:cs="Times New Roman"/>
          <w:sz w:val="24"/>
          <w:szCs w:val="24"/>
        </w:rPr>
        <w:t xml:space="preserve">, (1986). </w:t>
      </w:r>
      <w:r w:rsidRPr="00824CCB">
        <w:rPr>
          <w:rFonts w:ascii="Times New Roman" w:hAnsi="Times New Roman" w:cs="Times New Roman"/>
          <w:sz w:val="24"/>
          <w:szCs w:val="24"/>
        </w:rPr>
        <w:t>Gender: A Useful Category of Historical Ana</w:t>
      </w:r>
      <w:r>
        <w:rPr>
          <w:rFonts w:ascii="Times New Roman" w:hAnsi="Times New Roman" w:cs="Times New Roman"/>
          <w:sz w:val="24"/>
          <w:szCs w:val="24"/>
        </w:rPr>
        <w:t>lysis.</w:t>
      </w:r>
    </w:p>
    <w:p w14:paraId="3782DFFD" w14:textId="77777777" w:rsidR="00613E7E" w:rsidRPr="009D5B48" w:rsidRDefault="00DF320B" w:rsidP="002E1404">
      <w:pPr>
        <w:spacing w:line="480" w:lineRule="auto"/>
        <w:ind w:left="720" w:hanging="720"/>
        <w:rPr>
          <w:rFonts w:ascii="Times New Roman" w:hAnsi="Times New Roman" w:cs="Times New Roman"/>
          <w:sz w:val="24"/>
          <w:szCs w:val="24"/>
        </w:rPr>
      </w:pPr>
      <w:r w:rsidRPr="008F2089">
        <w:rPr>
          <w:rFonts w:ascii="Times New Roman" w:hAnsi="Times New Roman" w:cs="Times New Roman"/>
          <w:sz w:val="24"/>
          <w:szCs w:val="24"/>
        </w:rPr>
        <w:t>Wee</w:t>
      </w:r>
      <w:r>
        <w:rPr>
          <w:rFonts w:ascii="Times New Roman" w:hAnsi="Times New Roman" w:cs="Times New Roman"/>
          <w:sz w:val="24"/>
          <w:szCs w:val="24"/>
        </w:rPr>
        <w:t xml:space="preserve">d, E. &amp; Judith B., (2011). </w:t>
      </w:r>
      <w:r w:rsidRPr="008F2089">
        <w:rPr>
          <w:rFonts w:ascii="Times New Roman" w:hAnsi="Times New Roman" w:cs="Times New Roman"/>
          <w:sz w:val="24"/>
          <w:szCs w:val="24"/>
        </w:rPr>
        <w:t xml:space="preserve"> Eds. The Question of Gender: Joan W. Scott’s Critical Feminism.</w:t>
      </w:r>
      <w:r>
        <w:rPr>
          <w:rFonts w:ascii="Times New Roman" w:hAnsi="Times New Roman" w:cs="Times New Roman"/>
          <w:sz w:val="24"/>
          <w:szCs w:val="24"/>
        </w:rPr>
        <w:t xml:space="preserve"> </w:t>
      </w:r>
      <w:r w:rsidRPr="008F2089">
        <w:rPr>
          <w:rFonts w:ascii="Times New Roman" w:hAnsi="Times New Roman" w:cs="Times New Roman"/>
          <w:sz w:val="24"/>
          <w:szCs w:val="24"/>
        </w:rPr>
        <w:t>Bloomington: Indiana Universi</w:t>
      </w:r>
      <w:r>
        <w:rPr>
          <w:rFonts w:ascii="Times New Roman" w:hAnsi="Times New Roman" w:cs="Times New Roman"/>
          <w:sz w:val="24"/>
          <w:szCs w:val="24"/>
        </w:rPr>
        <w:t xml:space="preserve">ty </w:t>
      </w:r>
      <w:r>
        <w:rPr>
          <w:rFonts w:ascii="Times New Roman" w:hAnsi="Times New Roman" w:cs="Times New Roman"/>
          <w:sz w:val="24"/>
          <w:szCs w:val="24"/>
        </w:rPr>
        <w:t>Press.</w:t>
      </w:r>
    </w:p>
    <w:sectPr w:rsidR="00613E7E" w:rsidRPr="009D5B48" w:rsidSect="00D817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6394A" w14:textId="77777777" w:rsidR="00DF320B" w:rsidRDefault="00DF320B">
      <w:pPr>
        <w:spacing w:after="0" w:line="240" w:lineRule="auto"/>
      </w:pPr>
      <w:r>
        <w:separator/>
      </w:r>
    </w:p>
  </w:endnote>
  <w:endnote w:type="continuationSeparator" w:id="0">
    <w:p w14:paraId="3AC2C87F" w14:textId="77777777" w:rsidR="00DF320B" w:rsidRDefault="00DF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F62C3" w14:textId="77777777" w:rsidR="00DF320B" w:rsidRDefault="00DF320B">
      <w:pPr>
        <w:spacing w:after="0" w:line="240" w:lineRule="auto"/>
      </w:pPr>
      <w:r>
        <w:separator/>
      </w:r>
    </w:p>
  </w:footnote>
  <w:footnote w:type="continuationSeparator" w:id="0">
    <w:p w14:paraId="7829567A" w14:textId="77777777" w:rsidR="00DF320B" w:rsidRDefault="00DF3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06986252"/>
      <w:docPartObj>
        <w:docPartGallery w:val="Page Numbers (Top of Page)"/>
        <w:docPartUnique/>
      </w:docPartObj>
    </w:sdtPr>
    <w:sdtEndPr>
      <w:rPr>
        <w:noProof/>
      </w:rPr>
    </w:sdtEndPr>
    <w:sdtContent>
      <w:p w14:paraId="3212B662" w14:textId="3839733D" w:rsidR="00D817AD" w:rsidRPr="00D817AD" w:rsidRDefault="00DF320B">
        <w:pPr>
          <w:pStyle w:val="Header"/>
          <w:jc w:val="right"/>
          <w:rPr>
            <w:rFonts w:ascii="Times New Roman" w:hAnsi="Times New Roman" w:cs="Times New Roman"/>
          </w:rPr>
        </w:pPr>
        <w:r w:rsidRPr="00D817AD">
          <w:rPr>
            <w:rFonts w:ascii="Times New Roman" w:hAnsi="Times New Roman" w:cs="Times New Roman"/>
          </w:rPr>
          <w:t xml:space="preserve">READING RESPONSE </w:t>
        </w:r>
        <w:r>
          <w:rPr>
            <w:rFonts w:ascii="Times New Roman" w:hAnsi="Times New Roman" w:cs="Times New Roman"/>
          </w:rPr>
          <w:t xml:space="preserve">                                                                                                                                </w:t>
        </w:r>
        <w:r w:rsidRPr="00D817AD">
          <w:rPr>
            <w:rFonts w:ascii="Times New Roman" w:hAnsi="Times New Roman" w:cs="Times New Roman"/>
          </w:rPr>
          <w:fldChar w:fldCharType="begin"/>
        </w:r>
        <w:r w:rsidRPr="00D817AD">
          <w:rPr>
            <w:rFonts w:ascii="Times New Roman" w:hAnsi="Times New Roman" w:cs="Times New Roman"/>
          </w:rPr>
          <w:instrText xml:space="preserve"> PAGE   \* MERGEFORMAT </w:instrText>
        </w:r>
        <w:r w:rsidRPr="00D817AD">
          <w:rPr>
            <w:rFonts w:ascii="Times New Roman" w:hAnsi="Times New Roman" w:cs="Times New Roman"/>
          </w:rPr>
          <w:fldChar w:fldCharType="separate"/>
        </w:r>
        <w:r w:rsidRPr="00D817AD">
          <w:rPr>
            <w:rFonts w:ascii="Times New Roman" w:hAnsi="Times New Roman" w:cs="Times New Roman"/>
            <w:noProof/>
          </w:rPr>
          <w:t>2</w:t>
        </w:r>
        <w:r w:rsidRPr="00D817AD">
          <w:rPr>
            <w:rFonts w:ascii="Times New Roman" w:hAnsi="Times New Roman" w:cs="Times New Roman"/>
            <w:noProof/>
          </w:rPr>
          <w:fldChar w:fldCharType="end"/>
        </w:r>
      </w:p>
    </w:sdtContent>
  </w:sdt>
  <w:p w14:paraId="5B4EDF4D" w14:textId="2E291443" w:rsidR="004115C2" w:rsidRPr="00D817AD" w:rsidRDefault="004115C2" w:rsidP="00D817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03585469"/>
      <w:docPartObj>
        <w:docPartGallery w:val="Page Numbers (Top of Page)"/>
        <w:docPartUnique/>
      </w:docPartObj>
    </w:sdtPr>
    <w:sdtEndPr>
      <w:rPr>
        <w:noProof/>
      </w:rPr>
    </w:sdtEndPr>
    <w:sdtContent>
      <w:p w14:paraId="2DE3082C" w14:textId="4F11C22B" w:rsidR="00D817AD" w:rsidRPr="00D817AD" w:rsidRDefault="00DF320B">
        <w:pPr>
          <w:pStyle w:val="Header"/>
          <w:jc w:val="right"/>
          <w:rPr>
            <w:rFonts w:ascii="Times New Roman" w:hAnsi="Times New Roman" w:cs="Times New Roman"/>
          </w:rPr>
        </w:pPr>
        <w:r>
          <w:rPr>
            <w:rFonts w:ascii="Times New Roman" w:hAnsi="Times New Roman" w:cs="Times New Roman"/>
          </w:rPr>
          <w:t xml:space="preserve">Running head: </w:t>
        </w:r>
        <w:r w:rsidRPr="00D817AD">
          <w:rPr>
            <w:rFonts w:ascii="Times New Roman" w:hAnsi="Times New Roman" w:cs="Times New Roman"/>
          </w:rPr>
          <w:t xml:space="preserve">READING RESPONSE </w:t>
        </w:r>
        <w:r>
          <w:rPr>
            <w:rFonts w:ascii="Times New Roman" w:hAnsi="Times New Roman" w:cs="Times New Roman"/>
          </w:rPr>
          <w:t xml:space="preserve">                                                                                                       </w:t>
        </w:r>
        <w:r w:rsidRPr="00D817AD">
          <w:rPr>
            <w:rFonts w:ascii="Times New Roman" w:hAnsi="Times New Roman" w:cs="Times New Roman"/>
          </w:rPr>
          <w:fldChar w:fldCharType="begin"/>
        </w:r>
        <w:r w:rsidRPr="00D817AD">
          <w:rPr>
            <w:rFonts w:ascii="Times New Roman" w:hAnsi="Times New Roman" w:cs="Times New Roman"/>
          </w:rPr>
          <w:instrText xml:space="preserve"> PAGE   \* MERGEFORMAT </w:instrText>
        </w:r>
        <w:r w:rsidRPr="00D817AD">
          <w:rPr>
            <w:rFonts w:ascii="Times New Roman" w:hAnsi="Times New Roman" w:cs="Times New Roman"/>
          </w:rPr>
          <w:fldChar w:fldCharType="separate"/>
        </w:r>
        <w:r w:rsidRPr="00D817AD">
          <w:rPr>
            <w:rFonts w:ascii="Times New Roman" w:hAnsi="Times New Roman" w:cs="Times New Roman"/>
            <w:noProof/>
          </w:rPr>
          <w:t>2</w:t>
        </w:r>
        <w:r w:rsidRPr="00D817AD">
          <w:rPr>
            <w:rFonts w:ascii="Times New Roman" w:hAnsi="Times New Roman" w:cs="Times New Roman"/>
            <w:noProof/>
          </w:rPr>
          <w:fldChar w:fldCharType="end"/>
        </w:r>
      </w:p>
    </w:sdtContent>
  </w:sdt>
  <w:p w14:paraId="1B119B8F" w14:textId="77777777" w:rsidR="00D817AD" w:rsidRDefault="00D817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505"/>
    <w:rsid w:val="00024E3E"/>
    <w:rsid w:val="00070296"/>
    <w:rsid w:val="000A4F6C"/>
    <w:rsid w:val="000C2D25"/>
    <w:rsid w:val="00115A87"/>
    <w:rsid w:val="00152BDF"/>
    <w:rsid w:val="0021168F"/>
    <w:rsid w:val="00226A3C"/>
    <w:rsid w:val="00245CE1"/>
    <w:rsid w:val="002D6EE0"/>
    <w:rsid w:val="002E1404"/>
    <w:rsid w:val="002F33B3"/>
    <w:rsid w:val="003578E9"/>
    <w:rsid w:val="003B5226"/>
    <w:rsid w:val="003E3735"/>
    <w:rsid w:val="004115C2"/>
    <w:rsid w:val="00415FFE"/>
    <w:rsid w:val="00430555"/>
    <w:rsid w:val="005075C5"/>
    <w:rsid w:val="0058103B"/>
    <w:rsid w:val="00592720"/>
    <w:rsid w:val="00613E7E"/>
    <w:rsid w:val="006177AD"/>
    <w:rsid w:val="00633D10"/>
    <w:rsid w:val="00641A21"/>
    <w:rsid w:val="006C35DD"/>
    <w:rsid w:val="007B7E41"/>
    <w:rsid w:val="007C1700"/>
    <w:rsid w:val="007D5B8A"/>
    <w:rsid w:val="007E6807"/>
    <w:rsid w:val="0081239D"/>
    <w:rsid w:val="00824CCB"/>
    <w:rsid w:val="008B2CD3"/>
    <w:rsid w:val="008D7D72"/>
    <w:rsid w:val="008E5C4C"/>
    <w:rsid w:val="008F2089"/>
    <w:rsid w:val="009041E5"/>
    <w:rsid w:val="009132F6"/>
    <w:rsid w:val="009277D2"/>
    <w:rsid w:val="009536E0"/>
    <w:rsid w:val="0096346A"/>
    <w:rsid w:val="00986DCA"/>
    <w:rsid w:val="009C0E86"/>
    <w:rsid w:val="009D0510"/>
    <w:rsid w:val="009D5B48"/>
    <w:rsid w:val="009E3141"/>
    <w:rsid w:val="009F0B28"/>
    <w:rsid w:val="00A236AA"/>
    <w:rsid w:val="00AC7F0A"/>
    <w:rsid w:val="00B00A3A"/>
    <w:rsid w:val="00B21986"/>
    <w:rsid w:val="00B715CB"/>
    <w:rsid w:val="00BC49A0"/>
    <w:rsid w:val="00BD0505"/>
    <w:rsid w:val="00BD2A4D"/>
    <w:rsid w:val="00C71EC1"/>
    <w:rsid w:val="00C8391C"/>
    <w:rsid w:val="00CA2EDB"/>
    <w:rsid w:val="00CF066A"/>
    <w:rsid w:val="00D03992"/>
    <w:rsid w:val="00D37F67"/>
    <w:rsid w:val="00D817AD"/>
    <w:rsid w:val="00D95810"/>
    <w:rsid w:val="00DC06BB"/>
    <w:rsid w:val="00DF320B"/>
    <w:rsid w:val="00E000BD"/>
    <w:rsid w:val="00EC6910"/>
    <w:rsid w:val="00EE5C1B"/>
    <w:rsid w:val="00F378FD"/>
    <w:rsid w:val="00F47C3A"/>
    <w:rsid w:val="00F5030A"/>
    <w:rsid w:val="00FE3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B042B-967A-43EF-9E4D-D14F99132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5C2"/>
  </w:style>
  <w:style w:type="paragraph" w:styleId="Footer">
    <w:name w:val="footer"/>
    <w:basedOn w:val="Normal"/>
    <w:link w:val="FooterChar"/>
    <w:uiPriority w:val="99"/>
    <w:unhideWhenUsed/>
    <w:rsid w:val="00411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5C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4F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F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6</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59</cp:revision>
  <dcterms:created xsi:type="dcterms:W3CDTF">2018-07-09T08:22:00Z</dcterms:created>
  <dcterms:modified xsi:type="dcterms:W3CDTF">2018-07-09T17:50:00Z</dcterms:modified>
</cp:coreProperties>
</file>